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E92E8" w14:textId="77777777" w:rsidR="000F5589" w:rsidRDefault="00000000">
      <w:pPr>
        <w:widowControl/>
        <w:jc w:val="left"/>
        <w:rPr>
          <w:rFonts w:ascii="PMingLiU" w:eastAsia="PMingLiU" w:hAnsi="PMingLiU" w:cs="PMingLiU"/>
          <w:kern w:val="0"/>
          <w:sz w:val="22"/>
          <w:lang w:eastAsia="en-US"/>
        </w:rPr>
      </w:pPr>
      <w:r>
        <w:rPr>
          <w:rFonts w:ascii="Minion Pro" w:eastAsia="PMingLiU" w:hAnsi="Minion Pro" w:cs="PMingLiU"/>
          <w:b/>
          <w:bCs/>
          <w:color w:val="000000"/>
          <w:w w:val="105"/>
          <w:kern w:val="0"/>
          <w:sz w:val="22"/>
          <w:lang w:eastAsia="en-US"/>
        </w:rPr>
        <w:t xml:space="preserve">Supplementary </w:t>
      </w:r>
      <w:r>
        <w:rPr>
          <w:rFonts w:ascii="Minion Pro" w:eastAsia="PMingLiU" w:hAnsi="Minion Pro" w:cs="Times New Roman"/>
          <w:b/>
          <w:bCs/>
          <w:color w:val="222222"/>
          <w:kern w:val="0"/>
          <w:sz w:val="22"/>
          <w:shd w:val="clear" w:color="auto" w:fill="FFFFFF"/>
          <w:lang w:eastAsia="en-US"/>
        </w:rPr>
        <w:t>Figures’</w:t>
      </w:r>
      <w:r>
        <w:rPr>
          <w:rFonts w:ascii="Minion Pro" w:eastAsia="宋体" w:hAnsi="Minion Pro" w:cs="Times New Roman" w:hint="eastAsia"/>
          <w:b/>
          <w:bCs/>
          <w:color w:val="222222"/>
          <w:kern w:val="0"/>
          <w:sz w:val="22"/>
          <w:shd w:val="clear" w:color="auto" w:fill="FFFFFF"/>
        </w:rPr>
        <w:t xml:space="preserve"> </w:t>
      </w:r>
      <w:r>
        <w:rPr>
          <w:rFonts w:ascii="Minion Pro" w:eastAsia="宋体" w:hAnsi="Minion Pro" w:cs="Times New Roman"/>
          <w:b/>
          <w:bCs/>
          <w:color w:val="222222"/>
          <w:kern w:val="0"/>
          <w:sz w:val="22"/>
          <w:shd w:val="clear" w:color="auto" w:fill="FFFFFF"/>
        </w:rPr>
        <w:t>legends</w:t>
      </w:r>
      <w:bookmarkStart w:id="0" w:name="References"/>
      <w:bookmarkStart w:id="1" w:name="Conclusion"/>
      <w:bookmarkEnd w:id="0"/>
      <w:bookmarkEnd w:id="1"/>
    </w:p>
    <w:p w14:paraId="74C6ADF6" w14:textId="77777777" w:rsidR="000F5589" w:rsidRDefault="000F5589">
      <w:pPr>
        <w:autoSpaceDE w:val="0"/>
        <w:autoSpaceDN w:val="0"/>
        <w:jc w:val="left"/>
        <w:rPr>
          <w:rFonts w:ascii="Cambria" w:eastAsia="黑体" w:hAnsi="Cambria" w:cs="Times New Roman"/>
          <w:b/>
          <w:bCs/>
          <w:kern w:val="0"/>
          <w:sz w:val="20"/>
          <w:szCs w:val="20"/>
          <w:lang w:eastAsia="en-US"/>
        </w:rPr>
      </w:pPr>
    </w:p>
    <w:p w14:paraId="050CB4ED" w14:textId="3FA80D46" w:rsidR="000F5589" w:rsidRDefault="00000000">
      <w:pPr>
        <w:autoSpaceDE w:val="0"/>
        <w:autoSpaceDN w:val="0"/>
        <w:jc w:val="left"/>
        <w:rPr>
          <w:rFonts w:ascii="Cambria" w:eastAsia="黑体" w:hAnsi="Cambria" w:cs="Times New Roman"/>
          <w:kern w:val="0"/>
          <w:sz w:val="20"/>
          <w:szCs w:val="20"/>
          <w:lang w:eastAsia="en-US"/>
        </w:rPr>
      </w:pPr>
      <w:r>
        <w:rPr>
          <w:rFonts w:ascii="Cambria" w:eastAsia="黑体" w:hAnsi="Cambria" w:cs="Times New Roman"/>
          <w:b/>
          <w:bCs/>
          <w:kern w:val="0"/>
          <w:sz w:val="20"/>
          <w:szCs w:val="20"/>
          <w:lang w:eastAsia="en-US"/>
        </w:rPr>
        <w:t>FIGURE S</w:t>
      </w:r>
      <w:r>
        <w:rPr>
          <w:rFonts w:ascii="Cambria" w:eastAsia="黑体" w:hAnsi="Cambria" w:cs="Times New Roman"/>
          <w:b/>
          <w:bCs/>
          <w:kern w:val="0"/>
          <w:sz w:val="20"/>
          <w:szCs w:val="20"/>
          <w:lang w:eastAsia="en-US"/>
        </w:rPr>
        <w:fldChar w:fldCharType="begin"/>
      </w:r>
      <w:r>
        <w:rPr>
          <w:rFonts w:ascii="Cambria" w:eastAsia="黑体" w:hAnsi="Cambria" w:cs="Times New Roman"/>
          <w:b/>
          <w:bCs/>
          <w:kern w:val="0"/>
          <w:sz w:val="20"/>
          <w:szCs w:val="20"/>
          <w:lang w:eastAsia="en-US"/>
        </w:rPr>
        <w:instrText xml:space="preserve"> SEQ FIGURE_S \* ARABIC </w:instrText>
      </w:r>
      <w:r>
        <w:rPr>
          <w:rFonts w:ascii="Cambria" w:eastAsia="黑体" w:hAnsi="Cambria" w:cs="Times New Roman"/>
          <w:b/>
          <w:bCs/>
          <w:kern w:val="0"/>
          <w:sz w:val="20"/>
          <w:szCs w:val="20"/>
          <w:lang w:eastAsia="en-US"/>
        </w:rPr>
        <w:fldChar w:fldCharType="separate"/>
      </w:r>
      <w:r>
        <w:rPr>
          <w:rFonts w:ascii="Cambria" w:eastAsia="黑体" w:hAnsi="Cambria" w:cs="Times New Roman"/>
          <w:b/>
          <w:bCs/>
          <w:kern w:val="0"/>
          <w:sz w:val="20"/>
          <w:szCs w:val="20"/>
          <w:lang w:eastAsia="en-US"/>
        </w:rPr>
        <w:t>1</w:t>
      </w:r>
      <w:r>
        <w:rPr>
          <w:rFonts w:ascii="Cambria" w:eastAsia="黑体" w:hAnsi="Cambria" w:cs="Times New Roman"/>
          <w:b/>
          <w:bCs/>
          <w:kern w:val="0"/>
          <w:sz w:val="20"/>
          <w:szCs w:val="20"/>
          <w:lang w:eastAsia="en-US"/>
        </w:rPr>
        <w:fldChar w:fldCharType="end"/>
      </w:r>
      <w:r>
        <w:rPr>
          <w:rFonts w:ascii="Cambria" w:eastAsia="黑体" w:hAnsi="Cambria" w:cs="Times New Roman"/>
          <w:b/>
          <w:bCs/>
          <w:kern w:val="0"/>
          <w:sz w:val="20"/>
          <w:szCs w:val="20"/>
          <w:lang w:eastAsia="en-US"/>
        </w:rPr>
        <w:t>.</w:t>
      </w:r>
      <w:r>
        <w:rPr>
          <w:rFonts w:ascii="Cambria" w:eastAsia="黑体" w:hAnsi="Cambria" w:cs="Times New Roman"/>
          <w:kern w:val="0"/>
          <w:sz w:val="20"/>
          <w:szCs w:val="20"/>
          <w:lang w:eastAsia="en-US"/>
        </w:rPr>
        <w:t xml:space="preserve"> The screening of </w:t>
      </w:r>
      <w:proofErr w:type="spellStart"/>
      <w:r>
        <w:rPr>
          <w:rFonts w:ascii="Cambria" w:eastAsia="黑体" w:hAnsi="Cambria" w:cs="Times New Roman"/>
          <w:kern w:val="0"/>
          <w:sz w:val="20"/>
          <w:szCs w:val="20"/>
          <w:lang w:eastAsia="en-US"/>
        </w:rPr>
        <w:t>circRNAs</w:t>
      </w:r>
      <w:proofErr w:type="spellEnd"/>
      <w:r>
        <w:rPr>
          <w:rFonts w:ascii="Cambria" w:eastAsia="黑体" w:hAnsi="Cambria" w:cs="Times New Roman"/>
          <w:kern w:val="0"/>
          <w:sz w:val="20"/>
          <w:szCs w:val="20"/>
          <w:lang w:eastAsia="en-US"/>
        </w:rPr>
        <w:t xml:space="preserve"> and validation of circ_0053943 knockdown and overexpression. (A) The expression of has_circ_0119872 in 5 ocular melanoma tissues and 5 human normal melanocyte tissues in our cohort. (B) PCR and agarose gel electrophoresis confirmed the circular formation of circ_0053943, using divergent and convergent primers in gDNA and cDNA of C918 cells. GAPDH was used as a negative control. (C) Circ_0053943 and linear RasGRP3 expression levels were detected after actinomycin D treatment in C918. (D, E) RNA fluorescence in situ hybridization (FISH) (D) and Subcellular fractionation assays (E) indicated that circ_0053943 was predominately localized in the cytoplasm of UM cells. </w:t>
      </w:r>
      <w:bookmarkStart w:id="2" w:name="_Hlk151738294"/>
      <w:r>
        <w:rPr>
          <w:rFonts w:ascii="Cambria" w:eastAsia="黑体" w:hAnsi="Cambria" w:cs="Times New Roman"/>
          <w:kern w:val="0"/>
          <w:sz w:val="20"/>
          <w:szCs w:val="20"/>
          <w:lang w:eastAsia="en-US"/>
        </w:rPr>
        <w:t xml:space="preserve">Scale bars, 50 </w:t>
      </w:r>
      <w:proofErr w:type="spellStart"/>
      <w:r>
        <w:rPr>
          <w:rFonts w:ascii="Cambria" w:eastAsia="黑体" w:hAnsi="Cambria" w:cs="Times New Roman"/>
          <w:kern w:val="0"/>
          <w:sz w:val="20"/>
          <w:szCs w:val="20"/>
          <w:lang w:eastAsia="en-US"/>
        </w:rPr>
        <w:t>μm</w:t>
      </w:r>
      <w:bookmarkEnd w:id="2"/>
      <w:proofErr w:type="spellEnd"/>
      <w:r>
        <w:rPr>
          <w:rFonts w:ascii="Cambria" w:eastAsia="黑体" w:hAnsi="Cambria" w:cs="Times New Roman"/>
          <w:kern w:val="0"/>
          <w:sz w:val="20"/>
          <w:szCs w:val="20"/>
          <w:lang w:eastAsia="en-US"/>
        </w:rPr>
        <w:t xml:space="preserve"> (F) The efficiency of circ_0054943 knockdown in MUM2B, C918 and Omm2.5. The expression of RasGRP3 mRNA remained unchangeable. (G) The efficiency of circ_0053943 overexpression in OCM-1, OCM-1A and Mel270. The expression of RasGRP3 mRNA level was detected at the same time. All data are presented as the means ± SD of three independent experiments. </w:t>
      </w:r>
      <w:proofErr w:type="spellStart"/>
      <w:r>
        <w:rPr>
          <w:rFonts w:ascii="Cambria" w:eastAsia="黑体" w:hAnsi="Cambria" w:cs="Times New Roman"/>
          <w:kern w:val="0"/>
          <w:sz w:val="20"/>
          <w:szCs w:val="20"/>
          <w:vertAlign w:val="superscript"/>
          <w:lang w:eastAsia="en-US"/>
        </w:rPr>
        <w:t>ns</w:t>
      </w:r>
      <w:r>
        <w:rPr>
          <w:rFonts w:ascii="Cambria" w:eastAsia="黑体" w:hAnsi="Cambria" w:cs="Times New Roman"/>
          <w:i/>
          <w:iCs/>
          <w:kern w:val="0"/>
          <w:sz w:val="20"/>
          <w:szCs w:val="20"/>
          <w:lang w:eastAsia="en-US"/>
        </w:rPr>
        <w:t>p</w:t>
      </w:r>
      <w:proofErr w:type="spellEnd"/>
      <w:r>
        <w:rPr>
          <w:rFonts w:ascii="Cambria" w:eastAsia="黑体" w:hAnsi="Cambria" w:cs="Times New Roman"/>
          <w:kern w:val="0"/>
          <w:sz w:val="20"/>
          <w:szCs w:val="20"/>
          <w:lang w:eastAsia="en-US"/>
        </w:rPr>
        <w:t xml:space="preserve"> &gt;0.05</w:t>
      </w:r>
    </w:p>
    <w:p w14:paraId="538593A1" w14:textId="77777777" w:rsidR="000F5589" w:rsidRDefault="000F5589">
      <w:pPr>
        <w:autoSpaceDE w:val="0"/>
        <w:autoSpaceDN w:val="0"/>
        <w:jc w:val="left"/>
        <w:rPr>
          <w:rFonts w:ascii="Cambria" w:eastAsia="黑体" w:hAnsi="Cambria" w:cs="Times New Roman"/>
          <w:kern w:val="0"/>
          <w:sz w:val="20"/>
          <w:szCs w:val="20"/>
          <w:lang w:eastAsia="en-US"/>
        </w:rPr>
      </w:pPr>
    </w:p>
    <w:p w14:paraId="467D75C8" w14:textId="2D120601" w:rsidR="000F5589" w:rsidRDefault="00000000">
      <w:pPr>
        <w:autoSpaceDE w:val="0"/>
        <w:autoSpaceDN w:val="0"/>
        <w:jc w:val="left"/>
        <w:rPr>
          <w:rFonts w:ascii="Cambria" w:eastAsia="黑体" w:hAnsi="Cambria" w:cs="Times New Roman"/>
          <w:kern w:val="0"/>
          <w:sz w:val="20"/>
          <w:szCs w:val="20"/>
          <w:lang w:eastAsia="en-US"/>
        </w:rPr>
      </w:pPr>
      <w:r>
        <w:rPr>
          <w:rFonts w:ascii="Cambria" w:eastAsia="黑体" w:hAnsi="Cambria" w:cs="Times New Roman"/>
          <w:b/>
          <w:bCs/>
          <w:kern w:val="0"/>
          <w:sz w:val="20"/>
          <w:szCs w:val="20"/>
          <w:lang w:eastAsia="en-US"/>
        </w:rPr>
        <w:t>FIGURE S</w:t>
      </w:r>
      <w:r>
        <w:rPr>
          <w:rFonts w:ascii="Cambria" w:eastAsia="黑体" w:hAnsi="Cambria" w:cs="Times New Roman"/>
          <w:b/>
          <w:bCs/>
          <w:kern w:val="0"/>
          <w:sz w:val="20"/>
          <w:szCs w:val="20"/>
          <w:lang w:eastAsia="en-US"/>
        </w:rPr>
        <w:fldChar w:fldCharType="begin"/>
      </w:r>
      <w:r>
        <w:rPr>
          <w:rFonts w:ascii="Cambria" w:eastAsia="黑体" w:hAnsi="Cambria" w:cs="Times New Roman"/>
          <w:b/>
          <w:bCs/>
          <w:kern w:val="0"/>
          <w:sz w:val="20"/>
          <w:szCs w:val="20"/>
          <w:lang w:eastAsia="en-US"/>
        </w:rPr>
        <w:instrText xml:space="preserve"> SEQ FIGURE_S \* ARABIC </w:instrText>
      </w:r>
      <w:r>
        <w:rPr>
          <w:rFonts w:ascii="Cambria" w:eastAsia="黑体" w:hAnsi="Cambria" w:cs="Times New Roman"/>
          <w:b/>
          <w:bCs/>
          <w:kern w:val="0"/>
          <w:sz w:val="20"/>
          <w:szCs w:val="20"/>
          <w:lang w:eastAsia="en-US"/>
        </w:rPr>
        <w:fldChar w:fldCharType="separate"/>
      </w:r>
      <w:r>
        <w:rPr>
          <w:rFonts w:ascii="Cambria" w:eastAsia="黑体" w:hAnsi="Cambria" w:cs="Times New Roman"/>
          <w:b/>
          <w:bCs/>
          <w:kern w:val="0"/>
          <w:sz w:val="20"/>
          <w:szCs w:val="20"/>
          <w:lang w:eastAsia="en-US"/>
        </w:rPr>
        <w:t>2</w:t>
      </w:r>
      <w:r>
        <w:rPr>
          <w:rFonts w:ascii="Cambria" w:eastAsia="黑体" w:hAnsi="Cambria" w:cs="Times New Roman"/>
          <w:b/>
          <w:bCs/>
          <w:kern w:val="0"/>
          <w:sz w:val="20"/>
          <w:szCs w:val="20"/>
          <w:lang w:eastAsia="en-US"/>
        </w:rPr>
        <w:fldChar w:fldCharType="end"/>
      </w:r>
      <w:r>
        <w:rPr>
          <w:rFonts w:ascii="Cambria" w:eastAsia="黑体" w:hAnsi="Cambria" w:cs="Times New Roman"/>
          <w:b/>
          <w:bCs/>
          <w:kern w:val="0"/>
          <w:sz w:val="20"/>
          <w:szCs w:val="20"/>
          <w:lang w:eastAsia="en-US"/>
        </w:rPr>
        <w:t>.</w:t>
      </w:r>
      <w:r>
        <w:rPr>
          <w:rFonts w:ascii="Cambria" w:eastAsia="黑体" w:hAnsi="Cambria" w:cs="Times New Roman"/>
          <w:kern w:val="0"/>
          <w:sz w:val="20"/>
          <w:szCs w:val="20"/>
          <w:lang w:eastAsia="en-US"/>
        </w:rPr>
        <w:t xml:space="preserve"> Circ_0053943 regulates UM cell proliferation, migration, invasion, cell cycle and apoptosis </w:t>
      </w:r>
      <w:r>
        <w:rPr>
          <w:rFonts w:ascii="Cambria" w:eastAsia="黑体" w:hAnsi="Cambria" w:cs="Times New Roman"/>
          <w:i/>
          <w:iCs/>
          <w:kern w:val="0"/>
          <w:sz w:val="20"/>
          <w:szCs w:val="20"/>
          <w:lang w:eastAsia="en-US"/>
        </w:rPr>
        <w:t>in vitro</w:t>
      </w:r>
      <w:r>
        <w:rPr>
          <w:rFonts w:ascii="Cambria" w:eastAsia="黑体" w:hAnsi="Cambria" w:cs="Times New Roman"/>
          <w:kern w:val="0"/>
          <w:sz w:val="20"/>
          <w:szCs w:val="20"/>
          <w:lang w:eastAsia="en-US"/>
        </w:rPr>
        <w:t xml:space="preserve">. (A) CCK8 assays were applied to determine the growth curves of circ_0053943 knockdown or overexpression cells. (B) </w:t>
      </w:r>
      <w:proofErr w:type="spellStart"/>
      <w:r>
        <w:rPr>
          <w:rFonts w:ascii="Cambria" w:eastAsia="黑体" w:hAnsi="Cambria" w:cs="Times New Roman"/>
          <w:kern w:val="0"/>
          <w:sz w:val="20"/>
          <w:szCs w:val="20"/>
          <w:lang w:eastAsia="en-US"/>
        </w:rPr>
        <w:t>EdU</w:t>
      </w:r>
      <w:proofErr w:type="spellEnd"/>
      <w:r>
        <w:rPr>
          <w:rFonts w:ascii="Cambria" w:eastAsia="黑体" w:hAnsi="Cambria" w:cs="Times New Roman"/>
          <w:kern w:val="0"/>
          <w:sz w:val="20"/>
          <w:szCs w:val="20"/>
          <w:lang w:eastAsia="en-US"/>
        </w:rPr>
        <w:t xml:space="preserve"> assays were performed to assess the cell proliferation ability. (C) </w:t>
      </w:r>
      <w:proofErr w:type="spellStart"/>
      <w:r>
        <w:rPr>
          <w:rFonts w:ascii="Cambria" w:eastAsia="黑体" w:hAnsi="Cambria" w:cs="Times New Roman"/>
          <w:kern w:val="0"/>
          <w:sz w:val="20"/>
          <w:szCs w:val="20"/>
          <w:lang w:eastAsia="en-US"/>
        </w:rPr>
        <w:t>Transwell</w:t>
      </w:r>
      <w:proofErr w:type="spellEnd"/>
      <w:r>
        <w:rPr>
          <w:rFonts w:ascii="Cambria" w:eastAsia="黑体" w:hAnsi="Cambria" w:cs="Times New Roman"/>
          <w:kern w:val="0"/>
          <w:sz w:val="20"/>
          <w:szCs w:val="20"/>
          <w:lang w:eastAsia="en-US"/>
        </w:rPr>
        <w:t xml:space="preserve"> migration and invasion assays were applied to evaluate the migration and invasion abilities of UM cells. </w:t>
      </w:r>
      <w:bookmarkStart w:id="3" w:name="_Hlk151738369"/>
      <w:r>
        <w:rPr>
          <w:rFonts w:ascii="Cambria" w:eastAsia="黑体" w:hAnsi="Cambria" w:cs="Times New Roman"/>
          <w:kern w:val="0"/>
          <w:sz w:val="20"/>
          <w:szCs w:val="20"/>
          <w:lang w:eastAsia="en-US"/>
        </w:rPr>
        <w:t xml:space="preserve">Scale bars, 100 </w:t>
      </w:r>
      <w:proofErr w:type="spellStart"/>
      <w:r>
        <w:rPr>
          <w:rFonts w:ascii="Cambria" w:eastAsia="黑体" w:hAnsi="Cambria" w:cs="Times New Roman"/>
          <w:kern w:val="0"/>
          <w:sz w:val="20"/>
          <w:szCs w:val="20"/>
          <w:lang w:eastAsia="en-US"/>
        </w:rPr>
        <w:t>μm</w:t>
      </w:r>
      <w:bookmarkEnd w:id="3"/>
      <w:proofErr w:type="spellEnd"/>
      <w:r>
        <w:rPr>
          <w:rFonts w:ascii="Cambria" w:eastAsia="黑体" w:hAnsi="Cambria" w:cs="Times New Roman"/>
          <w:kern w:val="0"/>
          <w:sz w:val="20"/>
          <w:szCs w:val="20"/>
          <w:lang w:eastAsia="en-US"/>
        </w:rPr>
        <w:t xml:space="preserve"> (D) Cell migration ability was assessed by wound healing assay. </w:t>
      </w:r>
      <w:bookmarkStart w:id="4" w:name="_Hlk151738381"/>
      <w:r>
        <w:rPr>
          <w:rFonts w:ascii="Cambria" w:eastAsia="黑体" w:hAnsi="Cambria" w:cs="Times New Roman"/>
          <w:kern w:val="0"/>
          <w:sz w:val="20"/>
          <w:szCs w:val="20"/>
          <w:lang w:eastAsia="en-US"/>
        </w:rPr>
        <w:t xml:space="preserve">Scale bars, 400 </w:t>
      </w:r>
      <w:proofErr w:type="spellStart"/>
      <w:r>
        <w:rPr>
          <w:rFonts w:ascii="Cambria" w:eastAsia="黑体" w:hAnsi="Cambria" w:cs="Times New Roman"/>
          <w:kern w:val="0"/>
          <w:sz w:val="20"/>
          <w:szCs w:val="20"/>
          <w:lang w:eastAsia="en-US"/>
        </w:rPr>
        <w:t>μm</w:t>
      </w:r>
      <w:bookmarkEnd w:id="4"/>
      <w:proofErr w:type="spellEnd"/>
      <w:r>
        <w:rPr>
          <w:rFonts w:ascii="Cambria" w:eastAsia="黑体" w:hAnsi="Cambria" w:cs="Times New Roman"/>
          <w:kern w:val="0"/>
          <w:sz w:val="20"/>
          <w:szCs w:val="20"/>
          <w:lang w:eastAsia="en-US"/>
        </w:rPr>
        <w:t xml:space="preserve"> (E) Cell cycle distributions were detected by flow cytometry in circ_0053943 knockdown or overexpression cells. (F) The apoptotic rates were performed and analyzed after cells were treated with 0.5 mM H</w:t>
      </w:r>
      <w:r>
        <w:rPr>
          <w:rFonts w:ascii="Cambria" w:eastAsia="黑体" w:hAnsi="Cambria" w:cs="Times New Roman"/>
          <w:kern w:val="0"/>
          <w:sz w:val="20"/>
          <w:szCs w:val="20"/>
          <w:vertAlign w:val="subscript"/>
          <w:lang w:eastAsia="en-US"/>
        </w:rPr>
        <w:t>2</w:t>
      </w:r>
      <w:r>
        <w:rPr>
          <w:rFonts w:ascii="Cambria" w:eastAsia="黑体" w:hAnsi="Cambria" w:cs="Times New Roman"/>
          <w:kern w:val="0"/>
          <w:sz w:val="20"/>
          <w:szCs w:val="20"/>
          <w:lang w:eastAsia="en-US"/>
        </w:rPr>
        <w:t>O</w:t>
      </w:r>
      <w:r>
        <w:rPr>
          <w:rFonts w:ascii="Cambria" w:eastAsia="黑体" w:hAnsi="Cambria" w:cs="Times New Roman"/>
          <w:kern w:val="0"/>
          <w:sz w:val="20"/>
          <w:szCs w:val="20"/>
          <w:vertAlign w:val="subscript"/>
          <w:lang w:eastAsia="en-US"/>
        </w:rPr>
        <w:t>2</w:t>
      </w:r>
      <w:r>
        <w:rPr>
          <w:rFonts w:ascii="Cambria" w:eastAsia="黑体" w:hAnsi="Cambria" w:cs="Times New Roman"/>
          <w:kern w:val="0"/>
          <w:sz w:val="20"/>
          <w:szCs w:val="20"/>
          <w:lang w:eastAsia="en-US"/>
        </w:rPr>
        <w:t xml:space="preserve"> for 4 h. All data are presented as the means ± SD of three independent experiments. (G) The expression of cell cycle and apoptosis makers (Cyclin D1, CDK4, Bcl-2, and </w:t>
      </w:r>
      <w:proofErr w:type="spellStart"/>
      <w:r>
        <w:rPr>
          <w:rFonts w:ascii="Cambria" w:eastAsia="黑体" w:hAnsi="Cambria" w:cs="Times New Roman"/>
          <w:kern w:val="0"/>
          <w:sz w:val="20"/>
          <w:szCs w:val="20"/>
          <w:lang w:eastAsia="en-US"/>
        </w:rPr>
        <w:t>Bax</w:t>
      </w:r>
      <w:proofErr w:type="spellEnd"/>
      <w:r>
        <w:rPr>
          <w:rFonts w:ascii="Cambria" w:eastAsia="黑体" w:hAnsi="Cambria" w:cs="Times New Roman"/>
          <w:kern w:val="0"/>
          <w:sz w:val="20"/>
          <w:szCs w:val="20"/>
          <w:lang w:eastAsia="en-US"/>
        </w:rPr>
        <w:t>) were detected by western blot in relatively treated cells. All data are presented as the means ± SD of three independent experiments.</w:t>
      </w:r>
    </w:p>
    <w:p w14:paraId="561C61E1" w14:textId="77777777" w:rsidR="000F5589" w:rsidRDefault="000F5589">
      <w:pPr>
        <w:keepNext/>
        <w:autoSpaceDE w:val="0"/>
        <w:autoSpaceDN w:val="0"/>
        <w:jc w:val="left"/>
        <w:rPr>
          <w:rFonts w:ascii="Cambria" w:eastAsia="黑体" w:hAnsi="Cambria" w:cs="Times New Roman"/>
          <w:kern w:val="0"/>
          <w:sz w:val="20"/>
          <w:szCs w:val="20"/>
          <w:lang w:eastAsia="en-US"/>
        </w:rPr>
      </w:pPr>
    </w:p>
    <w:p w14:paraId="19E3E7FB" w14:textId="277D2A75" w:rsidR="000F5589" w:rsidRDefault="00000000">
      <w:pPr>
        <w:autoSpaceDE w:val="0"/>
        <w:autoSpaceDN w:val="0"/>
        <w:jc w:val="left"/>
        <w:rPr>
          <w:rFonts w:ascii="Cambria" w:eastAsia="黑体" w:hAnsi="Cambria" w:cs="Times New Roman"/>
          <w:kern w:val="0"/>
          <w:sz w:val="20"/>
          <w:szCs w:val="20"/>
          <w:lang w:eastAsia="en-US"/>
        </w:rPr>
      </w:pPr>
      <w:r>
        <w:rPr>
          <w:rFonts w:ascii="Cambria" w:eastAsia="黑体" w:hAnsi="Cambria" w:cs="Times New Roman"/>
          <w:b/>
          <w:bCs/>
          <w:kern w:val="0"/>
          <w:sz w:val="20"/>
          <w:szCs w:val="20"/>
          <w:lang w:eastAsia="en-US"/>
        </w:rPr>
        <w:t>FIGURE S</w:t>
      </w:r>
      <w:r>
        <w:rPr>
          <w:rFonts w:ascii="Cambria" w:eastAsia="黑体" w:hAnsi="Cambria" w:cs="Times New Roman"/>
          <w:b/>
          <w:bCs/>
          <w:kern w:val="0"/>
          <w:sz w:val="20"/>
          <w:szCs w:val="20"/>
          <w:lang w:eastAsia="en-US"/>
        </w:rPr>
        <w:fldChar w:fldCharType="begin"/>
      </w:r>
      <w:r>
        <w:rPr>
          <w:rFonts w:ascii="Cambria" w:eastAsia="黑体" w:hAnsi="Cambria" w:cs="Times New Roman"/>
          <w:b/>
          <w:bCs/>
          <w:kern w:val="0"/>
          <w:sz w:val="20"/>
          <w:szCs w:val="20"/>
          <w:lang w:eastAsia="en-US"/>
        </w:rPr>
        <w:instrText xml:space="preserve"> SEQ FIGURE_S \* ARABIC </w:instrText>
      </w:r>
      <w:r>
        <w:rPr>
          <w:rFonts w:ascii="Cambria" w:eastAsia="黑体" w:hAnsi="Cambria" w:cs="Times New Roman"/>
          <w:b/>
          <w:bCs/>
          <w:kern w:val="0"/>
          <w:sz w:val="20"/>
          <w:szCs w:val="20"/>
          <w:lang w:eastAsia="en-US"/>
        </w:rPr>
        <w:fldChar w:fldCharType="separate"/>
      </w:r>
      <w:r>
        <w:rPr>
          <w:rFonts w:ascii="Cambria" w:eastAsia="黑体" w:hAnsi="Cambria" w:cs="Times New Roman"/>
          <w:b/>
          <w:bCs/>
          <w:kern w:val="0"/>
          <w:sz w:val="20"/>
          <w:szCs w:val="20"/>
          <w:lang w:eastAsia="en-US"/>
        </w:rPr>
        <w:t>3</w:t>
      </w:r>
      <w:r>
        <w:rPr>
          <w:rFonts w:ascii="Cambria" w:eastAsia="黑体" w:hAnsi="Cambria" w:cs="Times New Roman"/>
          <w:b/>
          <w:bCs/>
          <w:kern w:val="0"/>
          <w:sz w:val="20"/>
          <w:szCs w:val="20"/>
          <w:lang w:eastAsia="en-US"/>
        </w:rPr>
        <w:fldChar w:fldCharType="end"/>
      </w:r>
      <w:r>
        <w:rPr>
          <w:rFonts w:ascii="Cambria" w:eastAsia="黑体" w:hAnsi="Cambria" w:cs="Times New Roman"/>
          <w:b/>
          <w:bCs/>
          <w:kern w:val="0"/>
          <w:sz w:val="20"/>
          <w:szCs w:val="20"/>
          <w:lang w:eastAsia="en-US"/>
        </w:rPr>
        <w:t xml:space="preserve">. </w:t>
      </w:r>
      <w:r>
        <w:rPr>
          <w:rFonts w:ascii="Cambria" w:eastAsia="黑体" w:hAnsi="Cambria" w:cs="Times New Roman"/>
          <w:kern w:val="0"/>
          <w:sz w:val="20"/>
          <w:szCs w:val="20"/>
          <w:lang w:eastAsia="en-US"/>
        </w:rPr>
        <w:t xml:space="preserve">Circ_0053943 could specifically interact with IGF2BP3. (A) Analysis for circ_0053943 and </w:t>
      </w:r>
      <w:r>
        <w:rPr>
          <w:rFonts w:ascii="Cambria" w:eastAsia="黑体" w:hAnsi="Cambria" w:cs="Times New Roman"/>
          <w:i/>
          <w:iCs/>
          <w:kern w:val="0"/>
          <w:sz w:val="20"/>
          <w:szCs w:val="20"/>
          <w:lang w:eastAsia="en-US"/>
        </w:rPr>
        <w:t>ciRS-7</w:t>
      </w:r>
      <w:r>
        <w:rPr>
          <w:rFonts w:ascii="Cambria" w:eastAsia="黑体" w:hAnsi="Cambria" w:cs="Times New Roman"/>
          <w:kern w:val="0"/>
          <w:sz w:val="20"/>
          <w:szCs w:val="20"/>
          <w:lang w:eastAsia="en-US"/>
        </w:rPr>
        <w:t xml:space="preserve"> enrichment, relative to IgG. RIP assays were performed using FLAG antibody in MUM2B cells transfected with FLAG-AGO2 plasmid. (B, C) RNA pulldown assay followed by silver staining (B) and MS (C) indicated that circ_0053943 specifically interacted with IGF2BP3. (D) Kaplan-Meier plots indicated the OS and DFS of IGF2BP3 in UM patients from TCGA. (E) RNA pulldown assay followed by RIP assay indicated that circ_0053943 specifically interacted with IGF2BP3. (F, G) The transcript (F) and protein (G) level of IGF2BP3 in circ_0053943 knockdown and overexpression cells. (H) The knockdown and overexpression efficiency of IGF2BP3. (I) The circ_0053943 expression level in IGF2BP3 silencing and upregulated cells. All data are presented as the means ± SD of three independent experiments. </w:t>
      </w:r>
      <w:proofErr w:type="spellStart"/>
      <w:r>
        <w:rPr>
          <w:rFonts w:ascii="Cambria" w:eastAsia="黑体" w:hAnsi="Cambria" w:cs="Times New Roman"/>
          <w:kern w:val="0"/>
          <w:sz w:val="20"/>
          <w:szCs w:val="20"/>
          <w:vertAlign w:val="superscript"/>
          <w:lang w:eastAsia="en-US"/>
        </w:rPr>
        <w:t>ns</w:t>
      </w:r>
      <w:r>
        <w:rPr>
          <w:rFonts w:ascii="Cambria" w:eastAsia="黑体" w:hAnsi="Cambria" w:cs="Times New Roman"/>
          <w:i/>
          <w:iCs/>
          <w:kern w:val="0"/>
          <w:sz w:val="20"/>
          <w:szCs w:val="20"/>
          <w:lang w:eastAsia="en-US"/>
        </w:rPr>
        <w:t>p</w:t>
      </w:r>
      <w:proofErr w:type="spellEnd"/>
      <w:r>
        <w:rPr>
          <w:rFonts w:ascii="Cambria" w:eastAsia="黑体" w:hAnsi="Cambria" w:cs="Times New Roman"/>
          <w:kern w:val="0"/>
          <w:sz w:val="20"/>
          <w:szCs w:val="20"/>
          <w:lang w:eastAsia="en-US"/>
        </w:rPr>
        <w:t xml:space="preserve"> &gt;0.05.</w:t>
      </w:r>
    </w:p>
    <w:p w14:paraId="57474998" w14:textId="77777777" w:rsidR="000F5589" w:rsidRDefault="000F5589">
      <w:pPr>
        <w:keepNext/>
        <w:autoSpaceDE w:val="0"/>
        <w:autoSpaceDN w:val="0"/>
        <w:jc w:val="left"/>
        <w:rPr>
          <w:rFonts w:ascii="Cambria" w:eastAsia="黑体" w:hAnsi="Cambria" w:cs="Times New Roman"/>
          <w:kern w:val="0"/>
          <w:sz w:val="20"/>
          <w:szCs w:val="20"/>
          <w:lang w:eastAsia="en-US"/>
        </w:rPr>
      </w:pPr>
    </w:p>
    <w:p w14:paraId="64DF3C03" w14:textId="07D29908" w:rsidR="000F5589" w:rsidRDefault="00000000">
      <w:pPr>
        <w:autoSpaceDE w:val="0"/>
        <w:autoSpaceDN w:val="0"/>
        <w:jc w:val="left"/>
        <w:rPr>
          <w:rFonts w:ascii="Cambria" w:eastAsia="黑体" w:hAnsi="Cambria" w:cs="Times New Roman"/>
          <w:kern w:val="0"/>
          <w:sz w:val="20"/>
          <w:szCs w:val="20"/>
          <w:lang w:eastAsia="en-US"/>
        </w:rPr>
      </w:pPr>
      <w:r>
        <w:rPr>
          <w:rFonts w:ascii="Cambria" w:eastAsia="黑体" w:hAnsi="Cambria" w:cs="Times New Roman"/>
          <w:b/>
          <w:bCs/>
          <w:kern w:val="0"/>
          <w:sz w:val="20"/>
          <w:szCs w:val="20"/>
          <w:lang w:eastAsia="en-US"/>
        </w:rPr>
        <w:t>FIGURE S</w:t>
      </w:r>
      <w:r>
        <w:rPr>
          <w:rFonts w:ascii="Cambria" w:eastAsia="黑体" w:hAnsi="Cambria" w:cs="Times New Roman"/>
          <w:b/>
          <w:bCs/>
          <w:kern w:val="0"/>
          <w:sz w:val="20"/>
          <w:szCs w:val="20"/>
          <w:lang w:eastAsia="en-US"/>
        </w:rPr>
        <w:fldChar w:fldCharType="begin"/>
      </w:r>
      <w:r>
        <w:rPr>
          <w:rFonts w:ascii="Cambria" w:eastAsia="黑体" w:hAnsi="Cambria" w:cs="Times New Roman"/>
          <w:b/>
          <w:bCs/>
          <w:kern w:val="0"/>
          <w:sz w:val="20"/>
          <w:szCs w:val="20"/>
          <w:lang w:eastAsia="en-US"/>
        </w:rPr>
        <w:instrText xml:space="preserve"> SEQ FIGURE_S \* ARABIC </w:instrText>
      </w:r>
      <w:r>
        <w:rPr>
          <w:rFonts w:ascii="Cambria" w:eastAsia="黑体" w:hAnsi="Cambria" w:cs="Times New Roman"/>
          <w:b/>
          <w:bCs/>
          <w:kern w:val="0"/>
          <w:sz w:val="20"/>
          <w:szCs w:val="20"/>
          <w:lang w:eastAsia="en-US"/>
        </w:rPr>
        <w:fldChar w:fldCharType="separate"/>
      </w:r>
      <w:r>
        <w:rPr>
          <w:rFonts w:ascii="Cambria" w:eastAsia="黑体" w:hAnsi="Cambria" w:cs="Times New Roman"/>
          <w:b/>
          <w:bCs/>
          <w:kern w:val="0"/>
          <w:sz w:val="20"/>
          <w:szCs w:val="20"/>
          <w:lang w:eastAsia="en-US"/>
        </w:rPr>
        <w:t>4</w:t>
      </w:r>
      <w:r>
        <w:rPr>
          <w:rFonts w:ascii="Cambria" w:eastAsia="黑体" w:hAnsi="Cambria" w:cs="Times New Roman"/>
          <w:b/>
          <w:bCs/>
          <w:kern w:val="0"/>
          <w:sz w:val="20"/>
          <w:szCs w:val="20"/>
          <w:lang w:eastAsia="en-US"/>
        </w:rPr>
        <w:fldChar w:fldCharType="end"/>
      </w:r>
      <w:r>
        <w:rPr>
          <w:rFonts w:ascii="Cambria" w:eastAsia="黑体" w:hAnsi="Cambria" w:cs="Times New Roman"/>
          <w:b/>
          <w:bCs/>
          <w:kern w:val="0"/>
          <w:sz w:val="20"/>
          <w:szCs w:val="20"/>
          <w:lang w:eastAsia="en-US"/>
        </w:rPr>
        <w:t xml:space="preserve">. </w:t>
      </w:r>
      <w:r>
        <w:rPr>
          <w:rFonts w:ascii="Cambria" w:eastAsia="黑体" w:hAnsi="Cambria" w:cs="Times New Roman"/>
          <w:kern w:val="0"/>
          <w:sz w:val="20"/>
          <w:szCs w:val="20"/>
          <w:lang w:eastAsia="en-US"/>
        </w:rPr>
        <w:t xml:space="preserve">Circ_0053943 and IGF2BP3 cooperative to play oncogenic roles. (A-F) </w:t>
      </w:r>
      <w:proofErr w:type="spellStart"/>
      <w:r>
        <w:rPr>
          <w:rFonts w:ascii="Cambria" w:eastAsia="黑体" w:hAnsi="Cambria" w:cs="Times New Roman"/>
          <w:kern w:val="0"/>
          <w:sz w:val="20"/>
          <w:szCs w:val="20"/>
          <w:lang w:eastAsia="en-US"/>
        </w:rPr>
        <w:t>EdU</w:t>
      </w:r>
      <w:proofErr w:type="spellEnd"/>
      <w:r>
        <w:rPr>
          <w:rFonts w:ascii="Cambria" w:eastAsia="黑体" w:hAnsi="Cambria" w:cs="Times New Roman"/>
          <w:kern w:val="0"/>
          <w:sz w:val="20"/>
          <w:szCs w:val="20"/>
          <w:lang w:eastAsia="en-US"/>
        </w:rPr>
        <w:t xml:space="preserve"> (A, B), </w:t>
      </w:r>
      <w:proofErr w:type="spellStart"/>
      <w:r>
        <w:rPr>
          <w:rFonts w:ascii="Cambria" w:eastAsia="黑体" w:hAnsi="Cambria" w:cs="Times New Roman"/>
          <w:kern w:val="0"/>
          <w:sz w:val="20"/>
          <w:szCs w:val="20"/>
          <w:lang w:eastAsia="en-US"/>
        </w:rPr>
        <w:t>Transwell</w:t>
      </w:r>
      <w:proofErr w:type="spellEnd"/>
      <w:r>
        <w:rPr>
          <w:rFonts w:ascii="Cambria" w:eastAsia="黑体" w:hAnsi="Cambria" w:cs="Times New Roman"/>
          <w:kern w:val="0"/>
          <w:sz w:val="20"/>
          <w:szCs w:val="20"/>
          <w:lang w:eastAsia="en-US"/>
        </w:rPr>
        <w:t xml:space="preserve"> (C, D), and wound healing assays (E, F) were used to detect UM cell proliferation ability in circ_0053943 knockdown cells with ectopically expressed IGF2BP3 and knockdown </w:t>
      </w:r>
      <w:r>
        <w:rPr>
          <w:rFonts w:ascii="Cambria" w:eastAsia="黑体" w:hAnsi="Cambria" w:cs="Times New Roman"/>
          <w:kern w:val="0"/>
          <w:sz w:val="20"/>
          <w:szCs w:val="20"/>
          <w:lang w:eastAsia="en-US"/>
        </w:rPr>
        <w:lastRenderedPageBreak/>
        <w:t xml:space="preserve">cells with ectopically expressed circ_0053943. </w:t>
      </w:r>
      <w:bookmarkStart w:id="5" w:name="_Hlk151738431"/>
      <w:r>
        <w:rPr>
          <w:rFonts w:ascii="Cambria" w:eastAsia="黑体" w:hAnsi="Cambria" w:cs="Times New Roman"/>
          <w:kern w:val="0"/>
          <w:sz w:val="20"/>
          <w:szCs w:val="20"/>
          <w:lang w:eastAsia="en-US"/>
        </w:rPr>
        <w:t xml:space="preserve">Scale bars, 100 </w:t>
      </w:r>
      <w:proofErr w:type="spellStart"/>
      <w:r>
        <w:rPr>
          <w:rFonts w:ascii="Cambria" w:eastAsia="黑体" w:hAnsi="Cambria" w:cs="Times New Roman"/>
          <w:kern w:val="0"/>
          <w:sz w:val="20"/>
          <w:szCs w:val="20"/>
          <w:lang w:eastAsia="en-US"/>
        </w:rPr>
        <w:t>μm</w:t>
      </w:r>
      <w:proofErr w:type="spellEnd"/>
      <w:r>
        <w:rPr>
          <w:rFonts w:ascii="Cambria" w:eastAsia="黑体" w:hAnsi="Cambria" w:cs="Times New Roman"/>
          <w:kern w:val="0"/>
          <w:sz w:val="20"/>
          <w:szCs w:val="20"/>
          <w:lang w:eastAsia="en-US"/>
        </w:rPr>
        <w:t xml:space="preserve"> (A-D), 400 </w:t>
      </w:r>
      <w:proofErr w:type="spellStart"/>
      <w:r>
        <w:rPr>
          <w:rFonts w:ascii="Cambria" w:eastAsia="黑体" w:hAnsi="Cambria" w:cs="Times New Roman"/>
          <w:kern w:val="0"/>
          <w:sz w:val="20"/>
          <w:szCs w:val="20"/>
          <w:lang w:eastAsia="en-US"/>
        </w:rPr>
        <w:t>μm</w:t>
      </w:r>
      <w:proofErr w:type="spellEnd"/>
      <w:r>
        <w:rPr>
          <w:rFonts w:ascii="Cambria" w:eastAsia="黑体" w:hAnsi="Cambria" w:cs="Times New Roman"/>
          <w:kern w:val="0"/>
          <w:sz w:val="20"/>
          <w:szCs w:val="20"/>
          <w:lang w:eastAsia="en-US"/>
        </w:rPr>
        <w:t xml:space="preserve"> (E, F).</w:t>
      </w:r>
      <w:bookmarkEnd w:id="5"/>
      <w:r>
        <w:rPr>
          <w:rFonts w:ascii="Cambria" w:eastAsia="黑体" w:hAnsi="Cambria" w:cs="Times New Roman"/>
          <w:kern w:val="0"/>
          <w:sz w:val="20"/>
          <w:szCs w:val="20"/>
          <w:lang w:eastAsia="en-US"/>
        </w:rPr>
        <w:t xml:space="preserve"> All data are presented as the means ± SD of three independent experiments. </w:t>
      </w:r>
      <w:proofErr w:type="spellStart"/>
      <w:r>
        <w:rPr>
          <w:rFonts w:ascii="Cambria" w:eastAsia="黑体" w:hAnsi="Cambria" w:cs="Times New Roman"/>
          <w:kern w:val="0"/>
          <w:sz w:val="20"/>
          <w:szCs w:val="20"/>
          <w:vertAlign w:val="superscript"/>
          <w:lang w:eastAsia="en-US"/>
        </w:rPr>
        <w:t>ns</w:t>
      </w:r>
      <w:r>
        <w:rPr>
          <w:rFonts w:ascii="Cambria" w:eastAsia="黑体" w:hAnsi="Cambria" w:cs="Times New Roman"/>
          <w:i/>
          <w:iCs/>
          <w:kern w:val="0"/>
          <w:sz w:val="20"/>
          <w:szCs w:val="20"/>
          <w:lang w:eastAsia="en-US"/>
        </w:rPr>
        <w:t>p</w:t>
      </w:r>
      <w:proofErr w:type="spellEnd"/>
      <w:r>
        <w:rPr>
          <w:rFonts w:ascii="Cambria" w:eastAsia="黑体" w:hAnsi="Cambria" w:cs="Times New Roman"/>
          <w:kern w:val="0"/>
          <w:sz w:val="20"/>
          <w:szCs w:val="20"/>
          <w:lang w:eastAsia="en-US"/>
        </w:rPr>
        <w:t xml:space="preserve"> &gt;0.05.</w:t>
      </w:r>
    </w:p>
    <w:p w14:paraId="630E193A" w14:textId="77777777" w:rsidR="000F5589" w:rsidRDefault="000F5589">
      <w:pPr>
        <w:autoSpaceDE w:val="0"/>
        <w:autoSpaceDN w:val="0"/>
        <w:jc w:val="left"/>
        <w:rPr>
          <w:rFonts w:ascii="Cambria" w:eastAsia="黑体" w:hAnsi="Cambria" w:cs="Times New Roman"/>
          <w:kern w:val="0"/>
          <w:sz w:val="20"/>
          <w:szCs w:val="20"/>
          <w:lang w:eastAsia="en-US"/>
        </w:rPr>
      </w:pPr>
    </w:p>
    <w:p w14:paraId="2EEAB39E" w14:textId="77777777" w:rsidR="000F5589" w:rsidRDefault="000F5589">
      <w:pPr>
        <w:widowControl/>
        <w:jc w:val="left"/>
        <w:rPr>
          <w:rFonts w:ascii="Minion Pro" w:eastAsia="黑体" w:hAnsi="Minion Pro" w:cs="Times New Roman"/>
          <w:vanish/>
          <w:color w:val="000000"/>
          <w:kern w:val="0"/>
          <w:sz w:val="20"/>
          <w:szCs w:val="20"/>
          <w:lang w:eastAsia="en-US"/>
        </w:rPr>
      </w:pPr>
    </w:p>
    <w:p w14:paraId="7CF97D4D" w14:textId="3545892B" w:rsidR="000F5589" w:rsidRDefault="00000000">
      <w:pPr>
        <w:keepNext/>
        <w:autoSpaceDE w:val="0"/>
        <w:autoSpaceDN w:val="0"/>
        <w:jc w:val="left"/>
        <w:rPr>
          <w:rFonts w:ascii="Cambria" w:eastAsia="黑体" w:hAnsi="Cambria" w:cs="Times New Roman"/>
          <w:kern w:val="0"/>
          <w:sz w:val="20"/>
          <w:szCs w:val="20"/>
          <w:lang w:eastAsia="en-US"/>
        </w:rPr>
      </w:pPr>
      <w:r>
        <w:rPr>
          <w:rFonts w:ascii="Cambria" w:eastAsia="黑体" w:hAnsi="Cambria" w:cs="Times New Roman"/>
          <w:b/>
          <w:bCs/>
          <w:kern w:val="0"/>
          <w:sz w:val="20"/>
          <w:szCs w:val="20"/>
          <w:lang w:eastAsia="en-US"/>
        </w:rPr>
        <w:t>FIGURE S</w:t>
      </w:r>
      <w:r>
        <w:rPr>
          <w:rFonts w:ascii="Cambria" w:eastAsia="黑体" w:hAnsi="Cambria" w:cs="Times New Roman"/>
          <w:b/>
          <w:bCs/>
          <w:kern w:val="0"/>
          <w:sz w:val="20"/>
          <w:szCs w:val="20"/>
          <w:lang w:eastAsia="en-US"/>
        </w:rPr>
        <w:fldChar w:fldCharType="begin"/>
      </w:r>
      <w:r>
        <w:rPr>
          <w:rFonts w:ascii="Cambria" w:eastAsia="黑体" w:hAnsi="Cambria" w:cs="Times New Roman"/>
          <w:b/>
          <w:bCs/>
          <w:kern w:val="0"/>
          <w:sz w:val="20"/>
          <w:szCs w:val="20"/>
          <w:lang w:eastAsia="en-US"/>
        </w:rPr>
        <w:instrText xml:space="preserve"> SEQ FIGURE_S \* ARABIC </w:instrText>
      </w:r>
      <w:r>
        <w:rPr>
          <w:rFonts w:ascii="Cambria" w:eastAsia="黑体" w:hAnsi="Cambria" w:cs="Times New Roman"/>
          <w:b/>
          <w:bCs/>
          <w:kern w:val="0"/>
          <w:sz w:val="20"/>
          <w:szCs w:val="20"/>
          <w:lang w:eastAsia="en-US"/>
        </w:rPr>
        <w:fldChar w:fldCharType="separate"/>
      </w:r>
      <w:r>
        <w:rPr>
          <w:rFonts w:ascii="Cambria" w:eastAsia="黑体" w:hAnsi="Cambria" w:cs="Times New Roman"/>
          <w:b/>
          <w:bCs/>
          <w:kern w:val="0"/>
          <w:sz w:val="20"/>
          <w:szCs w:val="20"/>
          <w:lang w:eastAsia="en-US"/>
        </w:rPr>
        <w:t>5</w:t>
      </w:r>
      <w:r>
        <w:rPr>
          <w:rFonts w:ascii="Cambria" w:eastAsia="黑体" w:hAnsi="Cambria" w:cs="Times New Roman"/>
          <w:b/>
          <w:bCs/>
          <w:kern w:val="0"/>
          <w:sz w:val="20"/>
          <w:szCs w:val="20"/>
          <w:lang w:eastAsia="en-US"/>
        </w:rPr>
        <w:fldChar w:fldCharType="end"/>
      </w:r>
      <w:r>
        <w:rPr>
          <w:rFonts w:ascii="Cambria" w:eastAsia="黑体" w:hAnsi="Cambria" w:cs="Times New Roman"/>
          <w:b/>
          <w:bCs/>
          <w:kern w:val="0"/>
          <w:sz w:val="20"/>
          <w:szCs w:val="20"/>
          <w:lang w:eastAsia="en-US"/>
        </w:rPr>
        <w:t>.</w:t>
      </w:r>
      <w:r>
        <w:rPr>
          <w:rFonts w:ascii="Cambria" w:eastAsia="黑体" w:hAnsi="Cambria" w:cs="Times New Roman"/>
          <w:kern w:val="0"/>
          <w:sz w:val="20"/>
          <w:szCs w:val="20"/>
          <w:lang w:eastAsia="en-US"/>
        </w:rPr>
        <w:t xml:space="preserve"> The screening of genes connected with UM progression. (A, B) The survival map (A) for 25 overlapping genes in UM was analyzed by the GEPIA website tool (Mantel-Cox test) based on the TCGA database. </w:t>
      </w:r>
      <w:r>
        <w:rPr>
          <w:rFonts w:ascii="Cambria" w:eastAsia="黑体" w:hAnsi="Cambria" w:cs="Times New Roman"/>
          <w:i/>
          <w:iCs/>
          <w:kern w:val="0"/>
          <w:sz w:val="20"/>
          <w:szCs w:val="20"/>
          <w:lang w:eastAsia="en-US"/>
        </w:rPr>
        <w:t>p</w:t>
      </w:r>
      <w:r>
        <w:rPr>
          <w:rFonts w:ascii="Cambria" w:eastAsia="黑体" w:hAnsi="Cambria" w:cs="Times New Roman"/>
          <w:kern w:val="0"/>
          <w:sz w:val="20"/>
          <w:szCs w:val="20"/>
          <w:lang w:eastAsia="en-US"/>
        </w:rPr>
        <w:t>&lt; 0.05 was framed and further showed in Kaplan-Meier plots (B).</w:t>
      </w:r>
    </w:p>
    <w:p w14:paraId="0A48E910" w14:textId="77777777" w:rsidR="000F5589" w:rsidRDefault="000F5589">
      <w:pPr>
        <w:keepNext/>
        <w:autoSpaceDE w:val="0"/>
        <w:autoSpaceDN w:val="0"/>
        <w:jc w:val="left"/>
        <w:rPr>
          <w:rFonts w:ascii="Cambria" w:eastAsia="黑体" w:hAnsi="Cambria" w:cs="Times New Roman"/>
          <w:kern w:val="0"/>
          <w:sz w:val="20"/>
          <w:szCs w:val="20"/>
          <w:lang w:eastAsia="en-US"/>
        </w:rPr>
      </w:pPr>
    </w:p>
    <w:p w14:paraId="2A21C87B" w14:textId="77777777" w:rsidR="000F5589" w:rsidRDefault="000F5589">
      <w:pPr>
        <w:widowControl/>
        <w:jc w:val="left"/>
        <w:rPr>
          <w:rFonts w:ascii="Minion Pro" w:eastAsia="黑体" w:hAnsi="Minion Pro" w:cs="Times New Roman"/>
          <w:vanish/>
          <w:color w:val="000000"/>
          <w:kern w:val="0"/>
          <w:sz w:val="20"/>
          <w:szCs w:val="20"/>
          <w:lang w:eastAsia="en-US"/>
        </w:rPr>
      </w:pPr>
    </w:p>
    <w:p w14:paraId="6D14DCF7" w14:textId="47AC187A" w:rsidR="000F5589" w:rsidRDefault="00000000">
      <w:pPr>
        <w:keepNext/>
        <w:autoSpaceDE w:val="0"/>
        <w:autoSpaceDN w:val="0"/>
        <w:jc w:val="left"/>
        <w:rPr>
          <w:rFonts w:ascii="Cambria" w:eastAsia="黑体" w:hAnsi="Cambria" w:cs="Times New Roman"/>
          <w:kern w:val="0"/>
          <w:sz w:val="20"/>
          <w:szCs w:val="20"/>
          <w:lang w:eastAsia="en-US"/>
        </w:rPr>
      </w:pPr>
      <w:r>
        <w:rPr>
          <w:rFonts w:ascii="Cambria" w:eastAsia="黑体" w:hAnsi="Cambria" w:cs="Times New Roman"/>
          <w:b/>
          <w:bCs/>
          <w:kern w:val="0"/>
          <w:sz w:val="20"/>
          <w:szCs w:val="20"/>
          <w:lang w:eastAsia="en-US"/>
        </w:rPr>
        <w:t>FIGURE S</w:t>
      </w:r>
      <w:r>
        <w:rPr>
          <w:rFonts w:ascii="Cambria" w:eastAsia="黑体" w:hAnsi="Cambria" w:cs="Times New Roman"/>
          <w:b/>
          <w:bCs/>
          <w:kern w:val="0"/>
          <w:sz w:val="20"/>
          <w:szCs w:val="20"/>
          <w:lang w:eastAsia="en-US"/>
        </w:rPr>
        <w:fldChar w:fldCharType="begin"/>
      </w:r>
      <w:r>
        <w:rPr>
          <w:rFonts w:ascii="Cambria" w:eastAsia="黑体" w:hAnsi="Cambria" w:cs="Times New Roman"/>
          <w:b/>
          <w:bCs/>
          <w:kern w:val="0"/>
          <w:sz w:val="20"/>
          <w:szCs w:val="20"/>
          <w:lang w:eastAsia="en-US"/>
        </w:rPr>
        <w:instrText xml:space="preserve"> SEQ FIGURE_S \* ARABIC </w:instrText>
      </w:r>
      <w:r>
        <w:rPr>
          <w:rFonts w:ascii="Cambria" w:eastAsia="黑体" w:hAnsi="Cambria" w:cs="Times New Roman"/>
          <w:b/>
          <w:bCs/>
          <w:kern w:val="0"/>
          <w:sz w:val="20"/>
          <w:szCs w:val="20"/>
          <w:lang w:eastAsia="en-US"/>
        </w:rPr>
        <w:fldChar w:fldCharType="separate"/>
      </w:r>
      <w:r>
        <w:rPr>
          <w:rFonts w:ascii="Cambria" w:eastAsia="黑体" w:hAnsi="Cambria" w:cs="Times New Roman"/>
          <w:b/>
          <w:bCs/>
          <w:kern w:val="0"/>
          <w:sz w:val="20"/>
          <w:szCs w:val="20"/>
          <w:lang w:eastAsia="en-US"/>
        </w:rPr>
        <w:t>6</w:t>
      </w:r>
      <w:r>
        <w:rPr>
          <w:rFonts w:ascii="Cambria" w:eastAsia="黑体" w:hAnsi="Cambria" w:cs="Times New Roman"/>
          <w:b/>
          <w:bCs/>
          <w:kern w:val="0"/>
          <w:sz w:val="20"/>
          <w:szCs w:val="20"/>
          <w:lang w:eastAsia="en-US"/>
        </w:rPr>
        <w:fldChar w:fldCharType="end"/>
      </w:r>
      <w:r>
        <w:rPr>
          <w:rFonts w:ascii="Cambria" w:eastAsia="黑体" w:hAnsi="Cambria" w:cs="Times New Roman"/>
          <w:b/>
          <w:bCs/>
          <w:kern w:val="0"/>
          <w:sz w:val="20"/>
          <w:szCs w:val="20"/>
          <w:lang w:eastAsia="en-US"/>
        </w:rPr>
        <w:t>.</w:t>
      </w:r>
      <w:r>
        <w:rPr>
          <w:rFonts w:ascii="Cambria" w:eastAsia="黑体" w:hAnsi="Cambria" w:cs="Times New Roman"/>
          <w:kern w:val="0"/>
          <w:sz w:val="20"/>
          <w:szCs w:val="20"/>
          <w:lang w:eastAsia="en-US"/>
        </w:rPr>
        <w:t xml:space="preserve"> Circ_0053943 and IGF2BP3 cooperative to regulate EGFR</w:t>
      </w:r>
      <w:r>
        <w:rPr>
          <w:rFonts w:ascii="Cambria" w:eastAsia="黑体" w:hAnsi="Cambria" w:cs="Times New Roman"/>
          <w:b/>
          <w:bCs/>
          <w:kern w:val="0"/>
          <w:sz w:val="20"/>
          <w:szCs w:val="20"/>
          <w:lang w:eastAsia="en-US"/>
        </w:rPr>
        <w:t>.</w:t>
      </w:r>
      <w:r>
        <w:rPr>
          <w:rFonts w:ascii="Cambria" w:eastAsia="黑体" w:hAnsi="Cambria" w:cs="Times New Roman"/>
          <w:kern w:val="0"/>
          <w:sz w:val="20"/>
          <w:szCs w:val="20"/>
          <w:lang w:eastAsia="en-US"/>
        </w:rPr>
        <w:t xml:space="preserve"> (A) The protein levels of EGFR in circ_0053943 and IGF2BP3 knockdown cells. (B) The mRNA levels of EGFR in circ_0053943 knockdown cells with ectopically expressed IGF2BP3 (left), and IGF2BP3 knockdown cells with ectopically expressed circ_0053943 cells (right). (C) The protein levels of EGFR in circ_0053943 knockdown cells with ectopically expressed IGF2BP3 (left), and IGF2BP3 knockdown cells with ectopically expressed circ_0053943 cells (right). All data are presented as the means ± SD of three independent experiments. </w:t>
      </w:r>
      <w:proofErr w:type="spellStart"/>
      <w:r>
        <w:rPr>
          <w:rFonts w:ascii="Cambria" w:eastAsia="黑体" w:hAnsi="Cambria" w:cs="Times New Roman"/>
          <w:kern w:val="0"/>
          <w:sz w:val="20"/>
          <w:szCs w:val="20"/>
          <w:vertAlign w:val="superscript"/>
          <w:lang w:eastAsia="en-US"/>
        </w:rPr>
        <w:t>ns</w:t>
      </w:r>
      <w:r>
        <w:rPr>
          <w:rFonts w:ascii="Cambria" w:eastAsia="黑体" w:hAnsi="Cambria" w:cs="Times New Roman"/>
          <w:i/>
          <w:iCs/>
          <w:kern w:val="0"/>
          <w:sz w:val="20"/>
          <w:szCs w:val="20"/>
          <w:lang w:eastAsia="en-US"/>
        </w:rPr>
        <w:t>p</w:t>
      </w:r>
      <w:proofErr w:type="spellEnd"/>
      <w:r>
        <w:rPr>
          <w:rFonts w:ascii="Cambria" w:eastAsia="黑体" w:hAnsi="Cambria" w:cs="Times New Roman"/>
          <w:kern w:val="0"/>
          <w:sz w:val="20"/>
          <w:szCs w:val="20"/>
          <w:lang w:eastAsia="en-US"/>
        </w:rPr>
        <w:t xml:space="preserve"> &gt;0.05.</w:t>
      </w:r>
    </w:p>
    <w:p w14:paraId="546DD81B" w14:textId="77777777" w:rsidR="000F5589" w:rsidRDefault="000F5589">
      <w:pPr>
        <w:keepNext/>
        <w:widowControl/>
        <w:jc w:val="left"/>
        <w:rPr>
          <w:rFonts w:ascii="PMingLiU" w:eastAsia="PMingLiU" w:hAnsi="PMingLiU" w:cs="PMingLiU"/>
          <w:kern w:val="0"/>
          <w:sz w:val="22"/>
          <w:lang w:eastAsia="en-US"/>
        </w:rPr>
      </w:pPr>
    </w:p>
    <w:p w14:paraId="15085EB3" w14:textId="3033E2B4" w:rsidR="000F5589" w:rsidRDefault="00000000">
      <w:pPr>
        <w:autoSpaceDE w:val="0"/>
        <w:autoSpaceDN w:val="0"/>
        <w:jc w:val="left"/>
        <w:rPr>
          <w:rFonts w:ascii="Cambria" w:eastAsia="黑体" w:hAnsi="Cambria" w:cs="Times New Roman"/>
          <w:kern w:val="0"/>
          <w:sz w:val="20"/>
          <w:szCs w:val="20"/>
          <w:lang w:eastAsia="en-US"/>
        </w:rPr>
      </w:pPr>
      <w:r>
        <w:rPr>
          <w:rFonts w:ascii="Cambria" w:eastAsia="黑体" w:hAnsi="Cambria" w:cs="Times New Roman"/>
          <w:b/>
          <w:bCs/>
          <w:kern w:val="0"/>
          <w:sz w:val="20"/>
          <w:szCs w:val="20"/>
          <w:lang w:eastAsia="en-US"/>
        </w:rPr>
        <w:t>FIGURE S</w:t>
      </w:r>
      <w:r>
        <w:rPr>
          <w:rFonts w:ascii="Cambria" w:eastAsia="黑体" w:hAnsi="Cambria" w:cs="Times New Roman"/>
          <w:b/>
          <w:bCs/>
          <w:kern w:val="0"/>
          <w:sz w:val="20"/>
          <w:szCs w:val="20"/>
          <w:lang w:eastAsia="en-US"/>
        </w:rPr>
        <w:fldChar w:fldCharType="begin"/>
      </w:r>
      <w:r>
        <w:rPr>
          <w:rFonts w:ascii="Cambria" w:eastAsia="黑体" w:hAnsi="Cambria" w:cs="Times New Roman"/>
          <w:b/>
          <w:bCs/>
          <w:kern w:val="0"/>
          <w:sz w:val="20"/>
          <w:szCs w:val="20"/>
          <w:lang w:eastAsia="en-US"/>
        </w:rPr>
        <w:instrText xml:space="preserve"> SEQ FIGURE_S \* ARABIC </w:instrText>
      </w:r>
      <w:r>
        <w:rPr>
          <w:rFonts w:ascii="Cambria" w:eastAsia="黑体" w:hAnsi="Cambria" w:cs="Times New Roman"/>
          <w:b/>
          <w:bCs/>
          <w:kern w:val="0"/>
          <w:sz w:val="20"/>
          <w:szCs w:val="20"/>
          <w:lang w:eastAsia="en-US"/>
        </w:rPr>
        <w:fldChar w:fldCharType="separate"/>
      </w:r>
      <w:r>
        <w:rPr>
          <w:rFonts w:ascii="Cambria" w:eastAsia="黑体" w:hAnsi="Cambria" w:cs="Times New Roman"/>
          <w:b/>
          <w:bCs/>
          <w:kern w:val="0"/>
          <w:sz w:val="20"/>
          <w:szCs w:val="20"/>
          <w:lang w:eastAsia="en-US"/>
        </w:rPr>
        <w:t>7</w:t>
      </w:r>
      <w:r>
        <w:rPr>
          <w:rFonts w:ascii="Cambria" w:eastAsia="黑体" w:hAnsi="Cambria" w:cs="Times New Roman"/>
          <w:b/>
          <w:bCs/>
          <w:kern w:val="0"/>
          <w:sz w:val="20"/>
          <w:szCs w:val="20"/>
          <w:lang w:eastAsia="en-US"/>
        </w:rPr>
        <w:fldChar w:fldCharType="end"/>
      </w:r>
      <w:r>
        <w:rPr>
          <w:rFonts w:ascii="Cambria" w:eastAsia="黑体" w:hAnsi="Cambria" w:cs="Times New Roman"/>
          <w:b/>
          <w:bCs/>
          <w:kern w:val="0"/>
          <w:sz w:val="20"/>
          <w:szCs w:val="20"/>
          <w:lang w:eastAsia="en-US"/>
        </w:rPr>
        <w:t>.</w:t>
      </w:r>
      <w:r>
        <w:rPr>
          <w:rFonts w:ascii="Cambria" w:eastAsia="黑体" w:hAnsi="Cambria" w:cs="Times New Roman"/>
          <w:kern w:val="0"/>
          <w:sz w:val="20"/>
          <w:szCs w:val="20"/>
          <w:lang w:eastAsia="en-US"/>
        </w:rPr>
        <w:t xml:space="preserve"> Circ_0053943 cooperates with IGF2BP3 to regulate EGFR in an m6A-dependent manner. (A) The knockdown efficiency of METTL3 and METTL14. (B) RIP </w:t>
      </w:r>
      <w:proofErr w:type="spellStart"/>
      <w:r>
        <w:rPr>
          <w:rFonts w:ascii="Cambria" w:eastAsia="黑体" w:hAnsi="Cambria" w:cs="Times New Roman"/>
          <w:kern w:val="0"/>
          <w:sz w:val="20"/>
          <w:szCs w:val="20"/>
          <w:lang w:eastAsia="en-US"/>
        </w:rPr>
        <w:t>qRT</w:t>
      </w:r>
      <w:proofErr w:type="spellEnd"/>
      <w:r>
        <w:rPr>
          <w:rFonts w:ascii="Cambria" w:eastAsia="黑体" w:hAnsi="Cambria" w:cs="Times New Roman"/>
          <w:kern w:val="0"/>
          <w:sz w:val="20"/>
          <w:szCs w:val="20"/>
          <w:lang w:eastAsia="en-US"/>
        </w:rPr>
        <w:t xml:space="preserve">-PCR detecting the enrichment of biotin-labeled circ_0053943 in the EGFR 3'UTR, 5’UTR, MYC CRD, and HPRT1 in IGF2BP3 knockdown and overexpressed cells. (C, D) Relative luciferase activity and luciferase mRNA expression of the luciferase reporter gene with EGFR 3'UTR WT and MUT reporters in control and circ_0053943 knockdown or overexpression MUM2B cells. All data are presented as the means ± SD of three independent experiments. </w:t>
      </w:r>
      <w:proofErr w:type="spellStart"/>
      <w:r>
        <w:rPr>
          <w:rFonts w:ascii="Cambria" w:eastAsia="黑体" w:hAnsi="Cambria" w:cs="Times New Roman"/>
          <w:kern w:val="0"/>
          <w:sz w:val="20"/>
          <w:szCs w:val="20"/>
          <w:vertAlign w:val="superscript"/>
          <w:lang w:eastAsia="en-US"/>
        </w:rPr>
        <w:t>ns</w:t>
      </w:r>
      <w:r>
        <w:rPr>
          <w:rFonts w:ascii="Cambria" w:eastAsia="黑体" w:hAnsi="Cambria" w:cs="Times New Roman"/>
          <w:i/>
          <w:iCs/>
          <w:kern w:val="0"/>
          <w:sz w:val="20"/>
          <w:szCs w:val="20"/>
          <w:lang w:eastAsia="en-US"/>
        </w:rPr>
        <w:t>p</w:t>
      </w:r>
      <w:proofErr w:type="spellEnd"/>
      <w:r>
        <w:rPr>
          <w:rFonts w:ascii="Cambria" w:eastAsia="黑体" w:hAnsi="Cambria" w:cs="Times New Roman"/>
          <w:kern w:val="0"/>
          <w:sz w:val="20"/>
          <w:szCs w:val="20"/>
          <w:lang w:eastAsia="en-US"/>
        </w:rPr>
        <w:t xml:space="preserve"> &gt;0.05.</w:t>
      </w:r>
    </w:p>
    <w:p w14:paraId="7D25B92A" w14:textId="77777777" w:rsidR="000F5589" w:rsidRDefault="000F5589">
      <w:pPr>
        <w:keepNext/>
        <w:autoSpaceDE w:val="0"/>
        <w:autoSpaceDN w:val="0"/>
        <w:jc w:val="left"/>
        <w:rPr>
          <w:rFonts w:ascii="Cambria" w:eastAsia="黑体" w:hAnsi="Cambria" w:cs="Times New Roman"/>
          <w:kern w:val="0"/>
          <w:sz w:val="20"/>
          <w:szCs w:val="20"/>
          <w:lang w:eastAsia="en-US"/>
        </w:rPr>
      </w:pPr>
    </w:p>
    <w:p w14:paraId="2B3D6CAE" w14:textId="518CD9D3" w:rsidR="000F5589" w:rsidRDefault="00000000">
      <w:pPr>
        <w:autoSpaceDE w:val="0"/>
        <w:autoSpaceDN w:val="0"/>
        <w:jc w:val="left"/>
        <w:rPr>
          <w:rFonts w:ascii="Cambria" w:eastAsia="黑体" w:hAnsi="Cambria" w:cs="Times New Roman"/>
          <w:kern w:val="0"/>
          <w:sz w:val="20"/>
          <w:szCs w:val="20"/>
          <w:lang w:eastAsia="en-US"/>
        </w:rPr>
      </w:pPr>
      <w:r>
        <w:rPr>
          <w:rFonts w:ascii="Cambria" w:eastAsia="黑体" w:hAnsi="Cambria" w:cs="Times New Roman"/>
          <w:b/>
          <w:bCs/>
          <w:kern w:val="0"/>
          <w:sz w:val="20"/>
          <w:szCs w:val="20"/>
          <w:lang w:eastAsia="en-US"/>
        </w:rPr>
        <w:t>FIGURE S</w:t>
      </w:r>
      <w:r>
        <w:rPr>
          <w:rFonts w:ascii="Cambria" w:eastAsia="黑体" w:hAnsi="Cambria" w:cs="Times New Roman"/>
          <w:b/>
          <w:bCs/>
          <w:kern w:val="0"/>
          <w:sz w:val="20"/>
          <w:szCs w:val="20"/>
          <w:lang w:eastAsia="en-US"/>
        </w:rPr>
        <w:fldChar w:fldCharType="begin"/>
      </w:r>
      <w:r>
        <w:rPr>
          <w:rFonts w:ascii="Cambria" w:eastAsia="黑体" w:hAnsi="Cambria" w:cs="Times New Roman"/>
          <w:b/>
          <w:bCs/>
          <w:kern w:val="0"/>
          <w:sz w:val="20"/>
          <w:szCs w:val="20"/>
          <w:lang w:eastAsia="en-US"/>
        </w:rPr>
        <w:instrText xml:space="preserve"> SEQ FIGURE_S \* ARABIC </w:instrText>
      </w:r>
      <w:r>
        <w:rPr>
          <w:rFonts w:ascii="Cambria" w:eastAsia="黑体" w:hAnsi="Cambria" w:cs="Times New Roman"/>
          <w:b/>
          <w:bCs/>
          <w:kern w:val="0"/>
          <w:sz w:val="20"/>
          <w:szCs w:val="20"/>
          <w:lang w:eastAsia="en-US"/>
        </w:rPr>
        <w:fldChar w:fldCharType="separate"/>
      </w:r>
      <w:r>
        <w:rPr>
          <w:rFonts w:ascii="Cambria" w:eastAsia="黑体" w:hAnsi="Cambria" w:cs="Times New Roman"/>
          <w:b/>
          <w:bCs/>
          <w:kern w:val="0"/>
          <w:sz w:val="20"/>
          <w:szCs w:val="20"/>
          <w:lang w:eastAsia="en-US"/>
        </w:rPr>
        <w:t>8</w:t>
      </w:r>
      <w:r>
        <w:rPr>
          <w:rFonts w:ascii="Cambria" w:eastAsia="黑体" w:hAnsi="Cambria" w:cs="Times New Roman"/>
          <w:b/>
          <w:bCs/>
          <w:kern w:val="0"/>
          <w:sz w:val="20"/>
          <w:szCs w:val="20"/>
          <w:lang w:eastAsia="en-US"/>
        </w:rPr>
        <w:fldChar w:fldCharType="end"/>
      </w:r>
      <w:r>
        <w:rPr>
          <w:rFonts w:ascii="Cambria" w:eastAsia="黑体" w:hAnsi="Cambria" w:cs="Times New Roman"/>
          <w:b/>
          <w:bCs/>
          <w:kern w:val="0"/>
          <w:sz w:val="20"/>
          <w:szCs w:val="20"/>
          <w:lang w:eastAsia="en-US"/>
        </w:rPr>
        <w:t xml:space="preserve">. </w:t>
      </w:r>
      <w:r>
        <w:rPr>
          <w:rFonts w:ascii="Cambria" w:eastAsia="黑体" w:hAnsi="Cambria" w:cs="Times New Roman"/>
          <w:kern w:val="0"/>
          <w:sz w:val="20"/>
          <w:szCs w:val="20"/>
          <w:lang w:eastAsia="en-US"/>
        </w:rPr>
        <w:t xml:space="preserve">Circ_0053943 regulates UM proliferation, metastasis, and angiogenesis via upregulating EGFR expression </w:t>
      </w:r>
      <w:r>
        <w:rPr>
          <w:rFonts w:ascii="Cambria" w:eastAsia="黑体" w:hAnsi="Cambria" w:cs="Times New Roman"/>
          <w:i/>
          <w:iCs/>
          <w:kern w:val="0"/>
          <w:sz w:val="20"/>
          <w:szCs w:val="20"/>
          <w:lang w:eastAsia="en-US"/>
        </w:rPr>
        <w:t>in vitro</w:t>
      </w:r>
      <w:r>
        <w:rPr>
          <w:rFonts w:ascii="Cambria" w:eastAsia="黑体" w:hAnsi="Cambria" w:cs="Times New Roman"/>
          <w:kern w:val="0"/>
          <w:sz w:val="20"/>
          <w:szCs w:val="20"/>
          <w:lang w:eastAsia="en-US"/>
        </w:rPr>
        <w:t xml:space="preserve">. (A) The knockdown and overexpression efficiency of EGFR. (B, C). CCK8 (B) and </w:t>
      </w:r>
      <w:proofErr w:type="spellStart"/>
      <w:r>
        <w:rPr>
          <w:rFonts w:ascii="Cambria" w:eastAsia="黑体" w:hAnsi="Cambria" w:cs="Times New Roman"/>
          <w:kern w:val="0"/>
          <w:sz w:val="20"/>
          <w:szCs w:val="20"/>
          <w:lang w:eastAsia="en-US"/>
        </w:rPr>
        <w:t>EdU</w:t>
      </w:r>
      <w:proofErr w:type="spellEnd"/>
      <w:r>
        <w:rPr>
          <w:rFonts w:ascii="Cambria" w:eastAsia="黑体" w:hAnsi="Cambria" w:cs="Times New Roman"/>
          <w:kern w:val="0"/>
          <w:sz w:val="20"/>
          <w:szCs w:val="20"/>
          <w:lang w:eastAsia="en-US"/>
        </w:rPr>
        <w:t xml:space="preserve"> (C) were used to detect UM cell proliferation ability in circ_0053943 overexpression cells with silencing EGFR. </w:t>
      </w:r>
      <w:bookmarkStart w:id="6" w:name="_Hlk151738538"/>
      <w:r>
        <w:rPr>
          <w:rFonts w:ascii="Cambria" w:eastAsia="黑体" w:hAnsi="Cambria" w:cs="Times New Roman"/>
          <w:kern w:val="0"/>
          <w:sz w:val="20"/>
          <w:szCs w:val="20"/>
          <w:lang w:eastAsia="en-US"/>
        </w:rPr>
        <w:t xml:space="preserve">Scale bars, 100 </w:t>
      </w:r>
      <w:proofErr w:type="spellStart"/>
      <w:r>
        <w:rPr>
          <w:rFonts w:ascii="Cambria" w:eastAsia="黑体" w:hAnsi="Cambria" w:cs="Times New Roman"/>
          <w:kern w:val="0"/>
          <w:sz w:val="20"/>
          <w:szCs w:val="20"/>
          <w:lang w:eastAsia="en-US"/>
        </w:rPr>
        <w:t>μm</w:t>
      </w:r>
      <w:proofErr w:type="spellEnd"/>
      <w:r>
        <w:rPr>
          <w:rFonts w:ascii="Cambria" w:eastAsia="黑体" w:hAnsi="Cambria" w:cs="Times New Roman"/>
          <w:kern w:val="0"/>
          <w:sz w:val="20"/>
          <w:szCs w:val="20"/>
          <w:lang w:eastAsia="en-US"/>
        </w:rPr>
        <w:t>.</w:t>
      </w:r>
      <w:bookmarkEnd w:id="6"/>
      <w:r>
        <w:rPr>
          <w:rFonts w:ascii="Cambria" w:eastAsia="黑体" w:hAnsi="Cambria" w:cs="Times New Roman"/>
          <w:kern w:val="0"/>
          <w:sz w:val="20"/>
          <w:szCs w:val="20"/>
          <w:lang w:eastAsia="en-US"/>
        </w:rPr>
        <w:t xml:space="preserve"> </w:t>
      </w:r>
      <w:proofErr w:type="spellStart"/>
      <w:r>
        <w:rPr>
          <w:rFonts w:ascii="Cambria" w:eastAsia="黑体" w:hAnsi="Cambria" w:cs="Times New Roman"/>
          <w:kern w:val="0"/>
          <w:sz w:val="20"/>
          <w:szCs w:val="20"/>
          <w:lang w:eastAsia="en-US"/>
        </w:rPr>
        <w:t>Transwell</w:t>
      </w:r>
      <w:proofErr w:type="spellEnd"/>
      <w:r>
        <w:rPr>
          <w:rFonts w:ascii="Cambria" w:eastAsia="黑体" w:hAnsi="Cambria" w:cs="Times New Roman"/>
          <w:kern w:val="0"/>
          <w:sz w:val="20"/>
          <w:szCs w:val="20"/>
          <w:lang w:eastAsia="en-US"/>
        </w:rPr>
        <w:t xml:space="preserve"> (D) and wound healing assays (E) detected UM cell metastasis capacity in circ_0053943 overexpression cells with silencing EGFR. </w:t>
      </w:r>
      <w:bookmarkStart w:id="7" w:name="_Hlk151738609"/>
      <w:r>
        <w:rPr>
          <w:rFonts w:ascii="Cambria" w:eastAsia="黑体" w:hAnsi="Cambria" w:cs="Times New Roman"/>
          <w:kern w:val="0"/>
          <w:sz w:val="20"/>
          <w:szCs w:val="20"/>
          <w:lang w:eastAsia="en-US"/>
        </w:rPr>
        <w:t xml:space="preserve">Scale bars, 100 </w:t>
      </w:r>
      <w:proofErr w:type="spellStart"/>
      <w:r>
        <w:rPr>
          <w:rFonts w:ascii="Cambria" w:eastAsia="黑体" w:hAnsi="Cambria" w:cs="Times New Roman"/>
          <w:kern w:val="0"/>
          <w:sz w:val="20"/>
          <w:szCs w:val="20"/>
          <w:lang w:eastAsia="en-US"/>
        </w:rPr>
        <w:t>μm</w:t>
      </w:r>
      <w:proofErr w:type="spellEnd"/>
      <w:r>
        <w:rPr>
          <w:rFonts w:ascii="Cambria" w:eastAsia="黑体" w:hAnsi="Cambria" w:cs="Times New Roman"/>
          <w:kern w:val="0"/>
          <w:sz w:val="20"/>
          <w:szCs w:val="20"/>
          <w:lang w:eastAsia="en-US"/>
        </w:rPr>
        <w:t xml:space="preserve"> (D), 400 </w:t>
      </w:r>
      <w:proofErr w:type="spellStart"/>
      <w:r>
        <w:rPr>
          <w:rFonts w:ascii="Cambria" w:eastAsia="黑体" w:hAnsi="Cambria" w:cs="Times New Roman"/>
          <w:kern w:val="0"/>
          <w:sz w:val="20"/>
          <w:szCs w:val="20"/>
          <w:lang w:eastAsia="en-US"/>
        </w:rPr>
        <w:t>μm</w:t>
      </w:r>
      <w:proofErr w:type="spellEnd"/>
      <w:r>
        <w:rPr>
          <w:rFonts w:ascii="Cambria" w:eastAsia="黑体" w:hAnsi="Cambria" w:cs="Times New Roman"/>
          <w:kern w:val="0"/>
          <w:sz w:val="20"/>
          <w:szCs w:val="20"/>
          <w:lang w:eastAsia="en-US"/>
        </w:rPr>
        <w:t xml:space="preserve"> (E).</w:t>
      </w:r>
      <w:bookmarkEnd w:id="7"/>
      <w:r>
        <w:rPr>
          <w:rFonts w:ascii="Cambria" w:eastAsia="黑体" w:hAnsi="Cambria" w:cs="Times New Roman"/>
          <w:kern w:val="0"/>
          <w:sz w:val="20"/>
          <w:szCs w:val="20"/>
          <w:lang w:eastAsia="en-US"/>
        </w:rPr>
        <w:t xml:space="preserve"> (F, G) Tube formation assay of HUVECs treated with conditional medium (CM) derived relatively transfected MUM2B (F) and OCM-1A (G). </w:t>
      </w:r>
      <w:bookmarkStart w:id="8" w:name="_Hlk151738629"/>
      <w:r>
        <w:rPr>
          <w:rFonts w:ascii="Cambria" w:eastAsia="黑体" w:hAnsi="Cambria" w:cs="Times New Roman"/>
          <w:kern w:val="0"/>
          <w:sz w:val="20"/>
          <w:szCs w:val="20"/>
          <w:lang w:eastAsia="en-US"/>
        </w:rPr>
        <w:t xml:space="preserve">Scale bars, 400 </w:t>
      </w:r>
      <w:proofErr w:type="spellStart"/>
      <w:r>
        <w:rPr>
          <w:rFonts w:ascii="Cambria" w:eastAsia="黑体" w:hAnsi="Cambria" w:cs="Times New Roman"/>
          <w:kern w:val="0"/>
          <w:sz w:val="20"/>
          <w:szCs w:val="20"/>
          <w:lang w:eastAsia="en-US"/>
        </w:rPr>
        <w:t>μm</w:t>
      </w:r>
      <w:proofErr w:type="spellEnd"/>
      <w:r>
        <w:rPr>
          <w:rFonts w:ascii="Cambria" w:eastAsia="黑体" w:hAnsi="Cambria" w:cs="Times New Roman"/>
          <w:kern w:val="0"/>
          <w:sz w:val="20"/>
          <w:szCs w:val="20"/>
          <w:lang w:eastAsia="en-US"/>
        </w:rPr>
        <w:t>.</w:t>
      </w:r>
      <w:bookmarkEnd w:id="8"/>
      <w:r>
        <w:rPr>
          <w:rFonts w:ascii="Cambria" w:eastAsia="黑体" w:hAnsi="Cambria" w:cs="Times New Roman"/>
          <w:kern w:val="0"/>
          <w:sz w:val="20"/>
          <w:szCs w:val="20"/>
          <w:lang w:eastAsia="en-US"/>
        </w:rPr>
        <w:t xml:space="preserve"> All data are presented as the means ± SD of three independent experiments.</w:t>
      </w:r>
    </w:p>
    <w:p w14:paraId="6E7F22C1" w14:textId="77777777" w:rsidR="000F5589" w:rsidRDefault="000F5589"/>
    <w:sectPr w:rsidR="000F55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ion Pro">
    <w:panose1 w:val="02040503050201020203"/>
    <w:charset w:val="00"/>
    <w:family w:val="roman"/>
    <w:notTrueType/>
    <w:pitch w:val="variable"/>
    <w:sig w:usb0="E00002AF" w:usb1="5000E07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1MzAyMrA0MzYyNzRR0lEKTi0uzszPAykwrAUAWfNSjiwAAAA="/>
    <w:docVar w:name="commondata" w:val="eyJoZGlkIjoiYjE2ZTgyMzM2Y2JlNGQwZjJkZTlmM2Q4YmQ2NDc5NWYifQ=="/>
  </w:docVars>
  <w:rsids>
    <w:rsidRoot w:val="00AE25E4"/>
    <w:rsid w:val="000152D7"/>
    <w:rsid w:val="000F5589"/>
    <w:rsid w:val="00164BAA"/>
    <w:rsid w:val="00184D2B"/>
    <w:rsid w:val="001B289E"/>
    <w:rsid w:val="001C3535"/>
    <w:rsid w:val="001F21B7"/>
    <w:rsid w:val="00213659"/>
    <w:rsid w:val="00263C24"/>
    <w:rsid w:val="00AE25E4"/>
    <w:rsid w:val="00D7106F"/>
    <w:rsid w:val="00E019B3"/>
    <w:rsid w:val="64937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D9F90"/>
  <w15:docId w15:val="{B5DCE91E-592F-4F7D-ACAB-1C265796A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jc w:val="left"/>
      <w:outlineLvl w:val="0"/>
    </w:pPr>
    <w:rPr>
      <w:rFonts w:eastAsia="Times New Roman"/>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Pr>
      <w:rFonts w:eastAsia="Times New Roman"/>
      <w:b/>
      <w:bCs/>
      <w:kern w:val="44"/>
      <w:sz w:val="28"/>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885</Words>
  <Characters>5051</Characters>
  <Application>Microsoft Office Word</Application>
  <DocSecurity>0</DocSecurity>
  <Lines>42</Lines>
  <Paragraphs>11</Paragraphs>
  <ScaleCrop>false</ScaleCrop>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zhao</dc:creator>
  <cp:lastModifiedBy>TSP TSP</cp:lastModifiedBy>
  <cp:revision>2</cp:revision>
  <dcterms:created xsi:type="dcterms:W3CDTF">2023-12-20T15:37:00Z</dcterms:created>
  <dcterms:modified xsi:type="dcterms:W3CDTF">2024-01-02T03:32:00Z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241AB3C6C0354F6684B0F1B9F2BE3274_12</vt:lpwstr>
  </property>
</Properties>
</file>